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Анестезиология-реаниматология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Анестезиология-реаниматология | Записей: 2</w:t>
      </w:r>
    </w:p>
    <w:p>
      <w:r>
        <w:br w:type="page"/>
      </w:r>
    </w:p>
    <w:p>
      <w:pPr>
        <w:pStyle w:val="Heading1"/>
      </w:pPr>
      <w:r>
        <w:t>Анестезиология-реаниматология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У пациентки 59 лет во время выполнения спинальной анестезии возникает онемение в области губ и языка, шум в ушах, беспокойство, чувство страха, тошнота, однократная рвота, с последующей потерей сознания.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 предъявляет в силу тяжести состояния.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Пациентка поступила на плановое оперативное вмешательство по поводу миомы матки.</w:t>
      </w:r>
    </w:p>
    <w:p>
      <w:pPr>
        <w:spacing w:after="58"/>
      </w:pPr>
      <w:r>
        <w:rPr>
          <w:b w:val="0"/>
          <w:i w:val="0"/>
        </w:rPr>
        <w:t>* Во время введения раствора лидокаина в дозе 80 мг в субарахноидальное пространство у пациентки развивается вышеописанное состояние.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в детстве тонзилэктомия (год указать не может), стеатогепатоз.</w:t>
      </w:r>
    </w:p>
    <w:p>
      <w:pPr>
        <w:spacing w:after="58"/>
      </w:pPr>
      <w:r>
        <w:rPr>
          <w:b w:val="0"/>
          <w:i w:val="0"/>
        </w:rPr>
        <w:t>* Наследственность: мать здорова. У отца подагра.</w:t>
      </w:r>
    </w:p>
    <w:p>
      <w:pPr>
        <w:spacing w:after="58"/>
      </w:pPr>
      <w:r>
        <w:rPr>
          <w:b w:val="0"/>
          <w:i w:val="0"/>
        </w:rPr>
        <w:t>* Аллергоанамнез: Лорсепт – отек Квинке.</w:t>
      </w:r>
    </w:p>
    <w:p>
      <w:pPr>
        <w:spacing w:after="58"/>
      </w:pPr>
      <w:r>
        <w:rPr>
          <w:b w:val="0"/>
          <w:i w:val="0"/>
        </w:rPr>
        <w:t>* Вредные привычки: курение отрицает, алкоголь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165 см, вес - 80 кг.</w:t>
      </w:r>
    </w:p>
    <w:p>
      <w:pPr>
        <w:spacing w:after="58"/>
      </w:pPr>
      <w:r>
        <w:rPr>
          <w:b w:val="0"/>
          <w:i w:val="0"/>
        </w:rPr>
        <w:t>Состояние пациентки крайне тяжелое.</w:t>
      </w:r>
    </w:p>
    <w:p>
      <w:pPr>
        <w:spacing w:after="58"/>
      </w:pPr>
      <w:r>
        <w:rPr>
          <w:b w:val="0"/>
          <w:i w:val="0"/>
        </w:rPr>
        <w:t>Сознание по шкале ком Глазго – 6 баллов. Реакция зрачков на свет слабая.</w:t>
      </w:r>
    </w:p>
    <w:p>
      <w:pPr>
        <w:spacing w:after="58"/>
      </w:pPr>
      <w:r>
        <w:rPr>
          <w:b w:val="0"/>
          <w:i w:val="0"/>
        </w:rPr>
        <w:t>Кожные покровы бледные, влажные.</w:t>
      </w:r>
    </w:p>
    <w:p>
      <w:pPr>
        <w:spacing w:after="58"/>
      </w:pPr>
      <w:r>
        <w:rPr>
          <w:b w:val="0"/>
          <w:i w:val="0"/>
        </w:rPr>
        <w:t>Апноэ. SpО2 75%. АД не определяется, брадикардия  29 уд/мин., экстрасистолия, далее фибрилляция желудочков.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 тяжелую степень  системной токсичности местных анестетиков указывают гипотензия, апноэ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беспокойство и чувство страха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брадикардия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шум в ушах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онемение в области губ и языка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брадикардия</w:t>
      </w:r>
    </w:p>
    <w:p>
      <w:pPr>
        <w:ind w:left="504"/>
      </w:pPr>
      <w:r>
        <w:rPr>
          <w:b w:val="0"/>
          <w:i/>
        </w:rPr>
        <w:t>При тяжелой степени токсичности — рвота, паралич сфинктеров, снижение тонуса мышц, утрата сознания, гипотензия, брадикардия, периодическое дыхание, остановка дыхания, кома, смерть.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2. Диагностика.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Время, прошедшее от начала введения местного анестетика до развития клинических симптомов, указывает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частичное внутрисосудистое введение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субарахноидальное введение максимальной разовой дозы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внутримышечное введение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внутрисосудистое введение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внутрисосудистое введение</w:t>
      </w:r>
    </w:p>
    <w:p>
      <w:pPr>
        <w:ind w:left="504"/>
      </w:pPr>
      <w:r>
        <w:rPr>
          <w:b w:val="0"/>
          <w:i/>
        </w:rPr>
        <w:t>Сроки развития системной токсичности местных анестетиков</w:t>
        <w:br/>
        <w:br/>
        <w:t>&lt; 60 сек - внутрисосудистое введение местного анестетика</w:t>
        <w:br/>
        <w:br/>
        <w:t>1-5 мин – частичное внутрисосудистое введение местного анестетика</w:t>
        <w:br/>
        <w:br/>
        <w:t>15 мин - введение потенциально токсической дозы местного анестетика для периферической регионарной анестезии (максимальной разовой дозы)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2. Диагностика. Приложение 2.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развитии первых признаков системной токсичности необходимо в первую очередь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приступить к купированию судорог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ввести 1 мл 0,1% раствора адреналина внутривенно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провести диагностику анафилаксии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прекратить введение местных анестетиков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прекратить введение местных анестетиков</w:t>
      </w:r>
    </w:p>
    <w:p>
      <w:pPr>
        <w:ind w:left="504"/>
      </w:pPr>
      <w:r>
        <w:rPr>
          <w:b w:val="0"/>
          <w:i/>
        </w:rPr>
        <w:t>При развитии первых признаков системной токсичности необходимо прекратить введение местных анестетиков.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анестетиками». Клинические рекомендации Министерства здравоохранения Российской Федерации, 2017.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Во время терапии системной токсичности  следует избегать применения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адреналина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мезатона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норадреналина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вазопрессина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вазопрессина</w:t>
      </w:r>
    </w:p>
    <w:p>
      <w:pPr>
        <w:ind w:left="504"/>
      </w:pPr>
      <w:r>
        <w:rPr>
          <w:b w:val="0"/>
          <w:i/>
        </w:rPr>
        <w:t>Следует ИЗБЕГАТЬ использования вазопрессина, блокаторов кальциевых каналов, бета-блокаторов или лидокаина.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Лечение. 3.1. Неотложные мероприятия. Таблица 4.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фибрилляции желудочков на фоне системной токсичности местных анестетиков следует избегать введения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адреналина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амиодарона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эсмолола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мезатона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эсмолола</w:t>
      </w:r>
    </w:p>
    <w:p>
      <w:pPr>
        <w:ind w:left="504"/>
      </w:pPr>
      <w:r>
        <w:rPr>
          <w:b w:val="0"/>
          <w:i/>
        </w:rPr>
        <w:t>Поддержку гемодинамики нужно проводить низкими дозами адреналина в/в; болюс адреналина должен быть ограничен 5-10 мкг/кг чтобы избежать желудочковой тахикардии и фибрилляции. Электроимпульсную терапию проводят при фибрилляции желудочков.</w:t>
        <w:br/>
        <w:br/>
        <w:t>Следует ИЗБЕГАТЬ использования вазопрессина, блокаторов кальциевых каналов, бета-блокаторов или лидокаина.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Лечение. 3.1. Неотложные мероприятия. Таблица 4.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увеличения эффективности реанимационных мероприятий при развитии системной токсичности местных анестетиков  следует использовать внутривенное введение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эритроцитарной массы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свежезамороженной плазмы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растворов глюкозы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жировой эмульсии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жировой эмульсии</w:t>
      </w:r>
    </w:p>
    <w:p>
      <w:pPr>
        <w:ind w:left="504"/>
      </w:pPr>
      <w:r>
        <w:rPr>
          <w:b w:val="0"/>
          <w:i/>
        </w:rPr>
        <w:t>Согласно новым рекомендациям Европейского совета по реанимации для увеличения эффективности реанимационных мероприятий следует использовать жировую эмульсию.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Лечение. 3.2 Интенсивная терапия жировой эмульсией.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Максимальная рекомендуемая доза 20% жировой эмульсии с учетом веса пациентки составляет +______+ мл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800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1600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800</w:t>
      </w:r>
    </w:p>
    <w:p>
      <w:pPr>
        <w:ind w:left="504"/>
      </w:pPr>
      <w:r>
        <w:rPr>
          <w:b w:val="0"/>
          <w:i/>
        </w:rPr>
        <w:t>Для интенсивной терапии используют 20% раствор жировой эмульсии. Максимальная рекомендуемая доза 20 % липидной эмульсии - 10 мл/кг.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Лечение. 3.2 Интенсивная терапия жировой эмульсией. Таблица 5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 качестве замены жировой эмульсии пропофол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рассматривать нельзя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следует вводить в дозе 0,5 мг/кг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следует вводить в дозе 0,2 мг/кг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следует вводить в дозе 1 мг/кг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рассматривать нельзя</w:t>
      </w:r>
    </w:p>
    <w:p>
      <w:pPr>
        <w:ind w:left="504"/>
      </w:pPr>
      <w:r>
        <w:rPr>
          <w:b w:val="0"/>
          <w:i/>
        </w:rPr>
        <w:t>Пропофол нельзя рассматривать в качестве замены жировой эмульсии, поскольку концентрация липидов в его растворе слишком низкая, а кардиодепрессия и вазодилатация слишком высокие. Негативное влияние пропофола на гемодинамику преобладает над положительным действием жировой эмульсии, в растворе которой он находится.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3. Лечение. 3.2 Интенсивная терапия жировой эмульсией. Таблица 6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Местные анестетики ингибируют почти все компоненты окислительного фосфорилирования в митохондриях путем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разрушения крипт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блокады переноса электронов в дыхательной цепи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уменьшения разницы потенциалов на мембране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подавления синтеза аденозинтрифосфата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подавления синтеза аденозинтрифосфата</w:t>
      </w:r>
    </w:p>
    <w:p>
      <w:pPr>
        <w:ind w:left="504"/>
      </w:pPr>
      <w:r>
        <w:rPr>
          <w:b w:val="0"/>
          <w:i/>
        </w:rPr>
        <w:t>Кроме того, местные анестетики ингибируют почти все компоненты окислительного фосфорилирования в митохондриях, подавляя синтез аденозинтрифосфата.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1. Краткая информация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Системная токсичность местных анестетиков связана с неспецифической блокадой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каналов щелевых контактов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кальциевых каналов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потенциалзависимых калиевых каналов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натриевых каналов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натриевых каналов</w:t>
      </w:r>
    </w:p>
    <w:p>
      <w:pPr>
        <w:ind w:left="504"/>
      </w:pPr>
      <w:r>
        <w:rPr>
          <w:b w:val="0"/>
          <w:i/>
        </w:rPr>
        <w:t>Системная токсичность местных анестетиков связана с неспецифической блокадой натриевых каналов.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1. Краткая информация.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 препаратам с низким кардиотоксическим эффектом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хирокаин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бупивакаин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новокаин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лидокаин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лидокаин</w:t>
      </w:r>
    </w:p>
    <w:p>
      <w:pPr>
        <w:ind w:left="504"/>
      </w:pPr>
      <w:r>
        <w:rPr>
          <w:b w:val="0"/>
          <w:i/>
        </w:rPr>
        <w:t>При необходимости введения максимальной дозы местного анестетика в обильно васкуляризированные области рекомендуется использовать препараты с низким кардиотоксическим эффектом (лидокаин, ропивакаин, левобупивакаин).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5. Профилактика, Таблица 9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Пациенты, получившие потенциально токсическую дозу местного анестетика, должны находиться под наблюдением не менее +_____+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</w:t>
      </w:r>
    </w:p>
    <w:p>
      <w:pPr>
        <w:ind w:left="504"/>
      </w:pPr>
      <w:r>
        <w:rPr>
          <w:b w:val="0"/>
          <w:i/>
        </w:rPr>
        <w:t>Пациенты, получившие потенциально токсическую дозу местного анестетика, должны находиться под наблюдением не менее 30 минут для оценки признаков развития системной токсичности.</w:t>
        <w:br/>
        <w:br/>
        <w:t>Общероссийская общественная организация «Федерация анестезиологов и реаниматологов». Клинические рекомендации. «Интенсивная терапия при системной токсичности местными анестетиками». 2017. Раздел 2. Диагностика. Приложение 2</w:t>
        <w:br/>
        <w:br/>
      </w:r>
      <w:hyperlink r:id="rId9">
        <w:r>
          <w:rPr>
            <w:color w:val="0F766E"/>
            <w:u w:val="single"/>
          </w:rPr>
          <w:t>Интенсивная терапия при системной токсичности местными анестетиками. Клинические рекомендации Министерства здравоохранения Российской Федерации. 2017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Анестезиология-реаниматология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Анестезиология-реаниматология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54 года, доставлен в отделение интенсивной терапии бригадой скорой медицинской помощи с диагнозом: “желудочно-кишечное кровотечение”.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Жалобы не предъявляет по тяжести состояния.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Со слов бригады скорой медицинской помощи, пациент найден соседями по дому без сознания. По пути в стационар отмечалась рвота измененной кровью.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Собрать не удается. Со слов соседей, вызвавших скорую помощь, пациент длительно злоупотребляет алкоголем.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Положение пассивное. Нормостенический тип телосложения. Вес = 85 кг, рост 170 см</w:t>
      </w:r>
    </w:p>
    <w:p>
      <w:pPr>
        <w:spacing w:after="58"/>
      </w:pPr>
      <w:r>
        <w:rPr>
          <w:b w:val="0"/>
          <w:i w:val="0"/>
        </w:rPr>
        <w:t>* Кожные покровы бледные, прохладные, липкий пот. Симптом ”бледного пятна” – замедленное заполнение (5 сек).</w:t>
      </w:r>
    </w:p>
    <w:p>
      <w:pPr>
        <w:spacing w:after="58"/>
      </w:pPr>
      <w:r>
        <w:rPr>
          <w:b w:val="0"/>
          <w:i w:val="0"/>
        </w:rPr>
        <w:t>* Уровень сознания – глубокое оглушение, 12 баллов по шкале Глазго. Очаговой неврологической симптоматики и менингеальных знаков не отмечается.</w:t>
      </w:r>
    </w:p>
    <w:p>
      <w:pPr>
        <w:spacing w:after="58"/>
      </w:pPr>
      <w:r>
        <w:rPr>
          <w:b w:val="0"/>
          <w:i w:val="0"/>
        </w:rPr>
        <w:t>* Дыхание самостоятельное, 28/мин, проводится во все отделы легких, ослаблено в нижнебоковых отделах, хрипов нет.</w:t>
      </w:r>
    </w:p>
    <w:p>
      <w:pPr>
        <w:spacing w:after="58"/>
      </w:pPr>
      <w:r>
        <w:rPr>
          <w:b w:val="0"/>
          <w:i w:val="0"/>
        </w:rPr>
        <w:t>* АД не определяется. Пульс на лучевой артерии не определяется, определяется на сонной и плечевой артериях, 140 уд/мин. Насыщение гемоглобина кислородом стандартным методом пульсоксиметрии на уровне дистальной фаланги пальцев не определяется. На мониторе ЭКГ: синусовая тахикардия.</w:t>
      </w:r>
    </w:p>
    <w:p>
      <w:r>
        <w:drawing>
          <wp:inline xmlns:a="http://schemas.openxmlformats.org/drawingml/2006/main" xmlns:pic="http://schemas.openxmlformats.org/drawingml/2006/picture">
            <wp:extent cx="5303520" cy="39776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c5b564a428e4e6debb7fd6afc2f6a52e281cb3b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776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spacing w:after="58"/>
      </w:pPr>
      <w:r>
        <w:rPr>
          <w:b w:val="0"/>
          <w:i w:val="0"/>
        </w:rPr>
        <w:t>* Выполнена катетеризация v. subclavia dextra, ЦВД = 0 см вод. ст.</w:t>
      </w:r>
    </w:p>
    <w:p>
      <w:pPr>
        <w:spacing w:after="58"/>
      </w:pPr>
      <w:r>
        <w:rPr>
          <w:b w:val="0"/>
          <w:i w:val="0"/>
        </w:rPr>
        <w:t>* Живот мягкий, не вздут, на пальпацию не реагирует. Отмечается рубец после срединной лапаротомии (анамнез предыдущих оперативных вмешательств неизвестен).</w:t>
      </w:r>
    </w:p>
    <w:p>
      <w:pPr>
        <w:spacing w:after="58"/>
      </w:pPr>
      <w:r>
        <w:rPr>
          <w:b w:val="0"/>
          <w:i w:val="0"/>
        </w:rPr>
        <w:t>* Выполнена катетеризация мочевого пузыря: получено 50 мл темно-желтой прозрачной мочи.</w:t>
      </w:r>
    </w:p>
    <w:p>
      <w:pPr>
        <w:spacing w:after="58"/>
      </w:pPr>
      <w:r>
        <w:rPr>
          <w:b w:val="0"/>
          <w:i w:val="0"/>
        </w:rPr>
        <w:t>* Лабораторно (газовый анализатор, проба венозной крови):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Ед.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Норма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К+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3.6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3,4-5,3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Na+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135-146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Cl-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101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98-106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Glu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4.8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3,9-5,3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Lac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19,1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0,5-1,6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mOsm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283.6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ммоль/кг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275-310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pH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6.81</w:t>
            </w:r>
          </w:p>
        </w:tc>
        <w:tc>
          <w:tcPr>
            <w:tcW w:type="dxa" w:w="2556"/>
          </w:tcPr>
          <w:p/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7,36-7,46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PCO2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28.0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мм.рт.ст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36,0-45,0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PO2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мм.рт.ст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83-108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SO2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48.2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95,0-99,0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ABE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-14.2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-2,0-3,0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НСО3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6.7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21,0-28,0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Hb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120-140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Ht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39-49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* Общий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Ед.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Норма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8.50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х 109 кл/л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4-9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Гемоглобин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120-140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Гематокрит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21.0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%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39-49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2.62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х 1012 кл/л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4,3-5,5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Тромбоциты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366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х 109 кл/л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150-400</w:t>
            </w:r>
          </w:p>
        </w:tc>
      </w:tr>
    </w:tbl>
    <w:p/>
    <w:p>
      <w:pPr>
        <w:spacing w:after="58"/>
      </w:pPr>
      <w:r>
        <w:rPr>
          <w:b w:val="0"/>
          <w:i w:val="0"/>
        </w:rPr>
        <w:t>* Биохимический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Параметр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Значение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Ед.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Норма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Билирубин общий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3,4–17,1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Мочевина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7.3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млмоль/л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2,5—8,3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Креатинин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76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мкмоль/л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44-106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АЛТ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19.2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Ед/л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7—41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Щелочная фосфатаза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92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Ед/л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32-100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Альфа-Амилаза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68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Ед/л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25-125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Альбумин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24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г/л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35 - 52</w:t>
            </w:r>
          </w:p>
        </w:tc>
      </w:tr>
    </w:tbl>
    <w:p/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Ведущим синдромом, определяющим тяжесть состояния пациента,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церебральная недостаточность на фоне острого нарушения мозгового кровообращения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дыхательная недостаточность на фоне острого респираторного дистреесс-синдрома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гиповолемический шок на фоне массивной кровопотери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кардиогенный шок на фоне острого нарушения ритма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гиповолемический шок на фоне массивной кровопотери</w:t>
      </w:r>
    </w:p>
    <w:p>
      <w:pPr>
        <w:ind w:left="504"/>
      </w:pPr>
      <w:r>
        <w:rPr>
          <w:b w:val="0"/>
          <w:i/>
        </w:rPr>
        <w:t>Признаками шока являются:</w:t>
        <w:br/>
        <w:br/>
        <w:t>- бледные, прохладные кожные покровы:</w:t>
        <w:br/>
        <w:br/>
        <w:t>- замедление заполнения бледного пятна (более 3 с);</w:t>
        <w:br/>
        <w:br/>
        <w:t>- энцефалопатия – угнетение уровня сознания до поверхностного оглушения;</w:t>
        <w:br/>
        <w:br/>
        <w:t>- олигурия &lt;0,5 мл/к/ч;</w:t>
        <w:br/>
        <w:br/>
        <w:t>- гипотензия, тахикардия, тахипное;</w:t>
        <w:br/>
        <w:br/>
        <w:t>- нарастание уровня лактата крови до 2.4 ммоль/л</w:t>
        <w:br/>
        <w:br/>
        <w:t>Гиповолемический шок развивается в результате первичного снижения ОЦК, чаще в результате кровотечения (геморрагический шок) реже при ожогах, острой кишечной непроходимости, диарее и прочих состояниях, ведущих к значимой потере жидкости (около 16% всех случаев шока).</w:t>
        <w:br/>
        <w:br/>
        <w:t>Интенсивная терапия. Национальное руководство. Краткое издание / под ред. Б.Р. Гельфанда, И.Б. Заболотских. – М.: ГЕОТАР-Медиа, 2017, стр. 165, 167-169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У больного развилось нарушение кислотно-щелочного состава в виде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первичного метаболического алкалоза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острого респираторного ацидоза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хронического респираторного ацидоза, компенсаторного метаболического алкалоза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первичного метаболического ацидоза, компенсаторного респираторного алкалоза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первичного метаболического ацидоза, компенсаторного респираторного алкалоза</w:t>
      </w:r>
    </w:p>
    <w:p>
      <w:pPr>
        <w:ind w:left="504"/>
      </w:pPr>
      <w:r>
        <w:rPr>
          <w:b w:val="0"/>
          <w:i/>
        </w:rPr>
        <w:t>Нормальный или сниженный уровень pCO2 при уменьшении pH указывает на формирование первичного метаболического ацидоза.</w:t>
        <w:br/>
        <w:br/>
        <w:t>Интенсивная терапия. Национальное руководство. Краткое издание / под ред. Б.Р. Гельфанда, И.Б. Заболотских. – М.: ГЕОТАР-Медиа, 2017, стр. 59</w:t>
      </w:r>
    </w:p>
    <w:p>
      <w:pPr>
        <w:pStyle w:val="Heading2"/>
      </w:pPr>
      <w:r>
        <w:t>2. План обследования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оценки системы гемостаза в данной ситуации уместно использовать тесты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активность антитромбина III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тест агрегации тромбоцитов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ПТВ, АЧТВ, фибриноген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дефицит VIII фактора свертывания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ПТВ, АЧТВ, фибриноген</w:t>
      </w:r>
    </w:p>
    <w:p>
      <w:pPr>
        <w:ind w:left="504"/>
      </w:pPr>
      <w:r>
        <w:rPr>
          <w:b w:val="0"/>
          <w:i/>
        </w:rPr>
        <w:t>Рутинная практика для обнаружения коагулопатии включает ранние и повторные определения ПТВ, АЧТВ, фибриногена и количества тромбоцитов и/или метод тромбоэластографии.</w:t>
        <w:br/>
        <w:br/>
      </w:r>
      <w:hyperlink r:id="rId20">
        <w:r>
          <w:rPr>
            <w:color w:val="0F766E"/>
            <w:u w:val="single"/>
          </w:rPr>
          <w:t>Протокол реанимации и интенсивной терапии при острой массивной кровопотере.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 Диагностика и лечение острой массивной кровопотери, рекомендация 16.</w:t>
      </w:r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ПТВ, АЧТВ, фибриноген</w:t>
      </w:r>
    </w:p>
    <w:p>
      <w:pPr>
        <w:spacing w:after="58"/>
      </w:pPr>
      <w:r>
        <w:rPr>
          <w:b w:val="0"/>
          <w:i w:val="0"/>
        </w:rPr>
        <w:t>ПТВ 21 c, МНО 1,6</w:t>
      </w:r>
    </w:p>
    <w:p>
      <w:pPr>
        <w:spacing w:after="58"/>
      </w:pPr>
      <w:r>
        <w:rPr>
          <w:b w:val="0"/>
          <w:i w:val="0"/>
        </w:rPr>
        <w:t>АЧТВ 35 c</w:t>
      </w:r>
    </w:p>
    <w:p>
      <w:pPr>
        <w:spacing w:after="58"/>
      </w:pPr>
      <w:r>
        <w:rPr>
          <w:b w:val="0"/>
          <w:i w:val="0"/>
        </w:rPr>
        <w:t>Фибриноген 2,8 г/л</w:t>
      </w:r>
    </w:p>
    <w:p>
      <w:pPr>
        <w:pStyle w:val="Heading2"/>
      </w:pPr>
      <w:r>
        <w:t>6. Дополнительная информация</w:t>
      </w:r>
    </w:p>
    <w:p>
      <w:pPr>
        <w:spacing w:after="58"/>
      </w:pPr>
      <w:r>
        <w:rPr>
          <w:b w:val="0"/>
          <w:i w:val="0"/>
        </w:rPr>
        <w:t>Пациенту выполнена ургентная ультразвуковая диагностика (УЗИ плевральных полостей, УЗИ брюшной полости на свободную жидкость, ЭХО-КГ из субкостального доступа): признаков значимого количества свободной жидкости в плевральных полостях нет, признаков тампонады сердца нет, при дыхании отмечается значительное спадение нижней полой вены (изменение диаметра более 50%). При УЗИ внутренних органов отмечаются диффузные изменения паренхимы печени по типу цирроза, расширение v.portae до 15 мм. Гепатоспленомегалия. Свободная жидкость в брюшной полости до 1 л (асцит).</w:t>
      </w:r>
    </w:p>
    <w:p>
      <w:pPr>
        <w:spacing w:after="58"/>
      </w:pPr>
      <w:r>
        <w:rPr>
          <w:b w:val="0"/>
          <w:i w:val="0"/>
        </w:rPr>
        <w:t>В ходе дообследования у пациента отмечается ухудшение состояния.</w:t>
      </w:r>
    </w:p>
    <w:p>
      <w:pPr>
        <w:spacing w:after="58"/>
      </w:pPr>
      <w:r>
        <w:rPr>
          <w:b w:val="0"/>
          <w:i w:val="0"/>
        </w:rPr>
        <w:t>Угнетение сознания до комы. Дыхание отсутствует. Пульсации магистральных артерий нет. АД не промеряется.</w:t>
      </w:r>
    </w:p>
    <w:p>
      <w:pPr>
        <w:spacing w:after="58"/>
      </w:pPr>
      <w:r>
        <w:rPr>
          <w:b w:val="0"/>
          <w:i w:val="0"/>
        </w:rPr>
        <w:t>ЭКГ (стандартное второе отведение) на мониторе: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406603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73d652408231555f100147121ab98232340fca6f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06603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Дополнительная информация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Пациенту необходимо выполнить комплекс мероприятий, включающий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* непрямой массаж сердца с частотой компрессий 100-120/мин</w:t>
        <w:br/>
        <w:br/>
        <w:t>* обеспечение проходимости дыхательных путей, ИВЛ с частотой вдохов 10/мин</w:t>
        <w:br/>
        <w:br/>
        <w:t>* выполнить как можно быстрее дефибрилляцию разрядом 150-360 Дж (бифазный дефибриллятор)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* обеспечение проходимости дыхательных путей, ИВЛ в режиме гипервентилляции с частотой вдохов 20-25/мин</w:t>
        <w:br/>
        <w:br/>
        <w:t>* непрямой массаж сердца с частотой компрессий 100-120/мин</w:t>
        <w:br/>
        <w:br/>
        <w:t>* как можно быстрее ввести в/в адреналин 1 мг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* непрямой массаж сердца с частотой компрессий 60-90/мин</w:t>
        <w:br/>
        <w:br/>
        <w:t>* выполнить ИВЛ методом изо рта в рот 2 вдоха на каждые 30 компрессий</w:t>
        <w:br/>
        <w:br/>
        <w:t>* как можно быстрее ввести в/в адреналин 1 мг и атропин 1 мг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* непрямой массаж сердца с частотой компрессий 100-120/мин</w:t>
        <w:br/>
        <w:br/>
        <w:t>* обеспечение проходимости дыхательных путей, ИВЛ с частотой вдохов 10/мин</w:t>
        <w:br/>
        <w:br/>
        <w:t>* как можно быстрее ввести в/в адреналин 1 мг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* непрямой массаж сердца с частотой компрессий 100-120/мин</w:t>
        <w:br/>
        <w:br/>
        <w:t>* обеспечение проходимости дыхательных путей, ИВЛ с частотой вдохов 10/мин</w:t>
        <w:br/>
        <w:br/>
        <w:t>* выполнить как можно быстрее дефибрилляцию разрядом 150-360 Дж (бифазный дефибриллятор)</w:t>
      </w:r>
    </w:p>
    <w:p>
      <w:pPr>
        <w:ind w:left="504"/>
      </w:pPr>
      <w:r>
        <w:rPr>
          <w:b w:val="0"/>
          <w:i/>
        </w:rPr>
        <w:t>Алгоритм расширенных реанимационных мероприятий.</w:t>
        <w:br/>
        <w:br/>
        <w:t>Алгоритм действий в случае определения ритма, подлежащего дефибрилляции (ФЖ или тахикардия с широкими комплексами) следующий.</w:t>
        <w:br/>
        <w:br/>
        <w:t>• Начать СЛР в соотношении 30:2. При наличии кардиомонитора — подключить его к пациенту.</w:t>
        <w:br/>
        <w:br/>
        <w:t>• Если остановка кровообращения произошла в ситуации, когда пациент подключен к монитору, но рядом нет дефибриллятора, то реанимационные мероприятия можно начать с нанесения одного прекардиального удара — нанести отрывистый удар по нижней части грудины с высоты 20 см локтевым краем плотно сжатого кулака. Других показаний к применению прекарди-ального удара не существует!</w:t>
        <w:br/>
        <w:br/>
        <w:t>• Как только появится дефибриллятор, наложить электроды на грудь пациента. Начать анализ ритма сердца. Во время анализ, ритма прекратить компрессии грудной клетки.</w:t>
        <w:br/>
        <w:br/>
        <w:t>• Разряд № 1. Если по данным мониторинга подтверждается наличие ФЖ или тахикардии с широкими комплексами, нанести один разряд (360 Дж - при монофазном импульсе.150-200 ДЖ при бифазном), минимизируя паузы между прекращ прессий грудной клетки и нанесением разряда.</w:t>
        <w:br/>
        <w:br/>
        <w:t>Интенсивная терапия. Национальное руководство. Краткое издание / под ред. Б.Р. Гельфанда, И.Б. Заболотских. – М.: ГЕОТАР-Медиа, 2017, стр. 36.</w:t>
      </w:r>
    </w:p>
    <w:p>
      <w:pPr>
        <w:pStyle w:val="Heading2"/>
      </w:pPr>
      <w:r>
        <w:t>8. Дополнительная информация</w:t>
      </w:r>
    </w:p>
    <w:p>
      <w:pPr>
        <w:spacing w:after="58"/>
      </w:pPr>
      <w:r>
        <w:rPr>
          <w:b w:val="0"/>
          <w:i w:val="0"/>
        </w:rPr>
        <w:t>После комплекса СЛР в течении 6-ти минут у пациента отмечается положительная динамика, восстановлен самостоятельный ритм.</w:t>
      </w:r>
    </w:p>
    <w:p>
      <w:pPr>
        <w:spacing w:after="58"/>
      </w:pPr>
      <w:r>
        <w:rPr>
          <w:b w:val="0"/>
          <w:i w:val="0"/>
        </w:rPr>
        <w:t>Состояние крайне тяжелое. Проводится ИВЛ через интубационную трубку, аускультативно дыхание проводится во все отделы легких, ослаблено в нижнебоковых, хрипов нет. Гемодинамика поддерживается инфузией норадреналина, АД= 92/45 мм. рт. ст., ЧСС=145/мин. Живот мягкий, не вздут. Анурия.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Инфузионную терапию следует начать с/со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0,9% раствора натрия хлорида (Na{plus} 154,0 ммоль/л; Cl- 154,0 ммоль/л; осмолярность 308 ммоль/л)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стерофундина изотонического (Na{plus} 145,0 ммоль/л; К{plus} 4,0 ммоль/л; Ca2{plus} 2,5 ммоль/л; Mg2+ 1,0 ммоль/л; Cl- 127,0 ммоль/л; ацетат 24,0 ммоль/л; малат 5,0 ммоль/л; осмолярность 304 ммоль/л)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волювена (ГЭК 130\0,4; Na{plus} 154,0 ммоль/л; Cl- 154,0 ммоль/л; осмолярность 308 ммоль/л)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трисоли (Na{plus} 133,2 ммоль/л; К{plus} 13,4 ммоль/л; Cl- 99,0 ммоль/л; HCO3-  47,6 ммоль/л; осмолярность 293,0 ммоль/л)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стерофундина изотонического (Na{plus} 145,0 ммоль/л; К{plus} 4,0 ммоль/л; Ca2{plus} 2,5 ммоль/л; Mg2+ 1,0 ммоль/л; Cl- 127,0 ммоль/л; ацетат 24,0 ммоль/л; малат 5,0 ммоль/л; осмолярность 304 ммоль/л)</w:t>
      </w:r>
    </w:p>
    <w:p>
      <w:pPr>
        <w:ind w:left="504"/>
      </w:pPr>
      <w:r>
        <w:rPr>
          <w:b w:val="0"/>
          <w:i/>
        </w:rPr>
        <w:t>Рекомендуется начинать инфузионную терапию с использования сбалансированных кристаллоидных растворов (уровень убедительности рекомендаций I, уровень достоверности доказательств – А).</w:t>
        <w:br/>
        <w:br/>
        <w:t>Необходимо избегать чрезмерного использования 0,9% раствора NaCl.</w:t>
        <w:br/>
        <w:br/>
      </w:r>
      <w:hyperlink r:id="rId20">
        <w:r>
          <w:rPr>
            <w:color w:val="0F766E"/>
            <w:u w:val="single"/>
          </w:rPr>
          <w:t>Протокол реанимации и интенсивной терапии при острой массивной кровопотере.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2.2. Интенсивная терапия и хирургические вмешательства, рекомендация 22, 23.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Пациенту рекомендована следующая трансфузионная терапия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* трансфузия СЗП в соотношении с эритроцитами (эритроцитная взвесь) 1: 2;</w:t>
        <w:br/>
        <w:br/>
        <w:t>* трансфузия эритроцитной взвеси, для поддержания целевого уровеня гемоглобина – 70-90 г/л;</w:t>
        <w:br/>
        <w:br/>
        <w:t>* тансфузия тромбоцитов, для поддержания целевого уровня &gt;50×109/л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* трансфузия криопреципитата 50 мг/кг,</w:t>
        <w:br/>
        <w:br/>
        <w:t>* трансфузия эритроцитной взвеси, для поддержания целевого уровеня гемоглобина – 70-90 г/л,</w:t>
        <w:br/>
        <w:br/>
        <w:t>* тансфузия тромбоцитов, для поддержания целевого уровня &gt;200×109/л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* трансфузия эритроцитной взвеси, для поддержания целевого уровеня гемоглобина – 70-90 г/л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* применение рекомбинантного активированного фактора коагуляции VII (rFVIIa),</w:t>
        <w:br/>
        <w:br/>
        <w:t>* трансфузия эритроцитной взвеси, для поддержания целевого уровеня гемоглобина – 70-90 г/л</w:t>
        <w:br/>
        <w:br/>
        <w:t>* тансфузия тромбоцитов, для поддержания целевого уровня &gt;100×109/л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* трансфузия СЗП в соотношении с эритроцитами (эритроцитная взвесь) 1: 2;</w:t>
        <w:br/>
        <w:br/>
        <w:t>* трансфузия эритроцитной взвеси, для поддержания целевого уровеня гемоглобина – 70-90 г/л;</w:t>
        <w:br/>
        <w:br/>
        <w:t>* тансфузия тромбоцитов, для поддержания целевого уровня &gt;50×109/л</w:t>
      </w:r>
    </w:p>
    <w:p>
      <w:pPr>
        <w:ind w:left="504"/>
      </w:pPr>
      <w:r>
        <w:rPr>
          <w:b w:val="0"/>
          <w:i/>
        </w:rPr>
        <w:t>Рекомендуется поддерживать целевой уровень гемоглобина - 70-90 г/л (уровень убедительности рекомендаций I, уровень достоверности доказательств – С).</w:t>
        <w:br/>
        <w:br/>
        <w:t>В начальном лечении больных с массивной кровопотерей рекомендуется рассмотреть трансфузию СЗП в соотношении с эритроцитами 1: 2 (уровень убедительности рекомендаций I, уровень достоверности доказательств – В).</w:t>
        <w:br/>
        <w:br/>
        <w:t>Рекомендуется введение СЗП для поддержания уровня ПТВ и АЧТВ не выше 1,5 –го увеличения от нормального диапазона на фоне кровотечения (уровень убедительности рекомендаций I, уровень достоверности доказательств – С).</w:t>
        <w:br/>
        <w:br/>
      </w:r>
      <w:hyperlink r:id="rId20">
        <w:r>
          <w:rPr>
            <w:color w:val="0F766E"/>
            <w:u w:val="single"/>
          </w:rPr>
          <w:t>Протокол реанимации и интенсивной терапии при острой массивной кровопотере.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2.1 Первичное восстановление, диагностика и мониторинг кровотечения, рекомендация 26.</w:t>
        <w:br/>
        <w:br/>
      </w:r>
      <w:hyperlink r:id="rId26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2.3. Коррекция коагулопатии, рекомендация 36.</w:t>
        <w:br/>
        <w:br/>
      </w:r>
      <w:hyperlink r:id="rId27">
        <w:r>
          <w:rPr>
            <w:color w:val="0F766E"/>
            <w:u w:val="single"/>
          </w:rPr>
          <w:t>(3)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2.3. Коррекция коагулопатии, рекомендация 37.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рамках экстренной гемостатической терапии пациента с массивной кровопотерей целесообразно введение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менадиона (викасол) 10 мг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транексамовой кислоты 1 г в/в, с последующим в/в введением 1 г в течение 8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ацетилсалициловой кислоты (Аспирин, Тромбо АСС) в дозе 325 мг, далее 100 мг/сут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протамина сульфата 25–50 мг в/в медленно, далее до 150 мг в/в капельно в течение 8–16 ч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транексамовой кислоты 1 г в/в, с последующим в/в введением 1 г в течение 8 часов</w:t>
      </w:r>
    </w:p>
    <w:p>
      <w:pPr>
        <w:ind w:left="504"/>
      </w:pPr>
      <w:r>
        <w:rPr>
          <w:b w:val="0"/>
          <w:i/>
        </w:rPr>
        <w:t>Целесообразно как можно раньше применять транексамовую кислоту у пациентов с травматическим кровотечением или при риске тяжелого кровотечения в нагрузочной дозе 1 г, которую вливают в течение 10 минут, с последующим внутривенным введением 1 г в течение 8 часов (уровень убедительности рекомендаций I, уровень достоверности доказательств – А).</w:t>
        <w:br/>
        <w:br/>
      </w:r>
      <w:hyperlink r:id="rId20">
        <w:r>
          <w:rPr>
            <w:color w:val="0F766E"/>
            <w:u w:val="single"/>
          </w:rPr>
          <w:t>Протокол реанимации и интенсивной терапии при острой массивной кровопотере.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 «Протокол реанимации и интенсивной терапии при острой массивной кровопотере», 2018 год. 2.3. Коррекция коагулопатии, рекомендация 39.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Пациенту с подозрением на желудочно-кишечное кровотечение планируется лечебно-диагностическая ЭГДС.</w:t>
        <w:br/>
        <w:t>Для индукции и поддержания анестезии у пациента с геморрагическим шоком предпочтительно использовать анестетик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тиопентал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кетамин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пропофол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севофлюран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кетамин</w:t>
      </w:r>
    </w:p>
    <w:p>
      <w:pPr>
        <w:ind w:left="504"/>
      </w:pPr>
      <w:r>
        <w:rPr>
          <w:b w:val="0"/>
          <w:i/>
        </w:rPr>
        <w:t>У пациентов с низким и выраженной гиповолемией кетамин зачастую становится препаратом выбора.</w:t>
        <w:br/>
        <w:br/>
        <w:t>Национальное руководство. Анестезиология. Краткое издание. Под редакцией А.А. Бунятяна, В.М. Мизикова. Геотар-Медия, 2017, стр. 146.</w:t>
        <w:br/>
        <w:br/>
        <w:t>Метод выбора при массивной кровопотере и геморрагическом шоке: общая анестезия с ИВЛ (кетамин, фентанил, бензодиазепины, пропофол).</w:t>
        <w:br/>
        <w:br/>
      </w:r>
      <w:hyperlink r:id="rId29">
        <w:r>
          <w:rPr>
            <w:color w:val="0F766E"/>
            <w:u w:val="single"/>
          </w:rPr>
          <w:t>Анестезия и интенсивная терапия при массивной кровопотере в акушерстве. Клинические рекомендации, 2018</w:t>
        </w:r>
      </w:hyperlink>
      <w:r>
        <w:rPr>
          <w:b w:val="0"/>
          <w:i/>
        </w:rPr>
        <w:br/>
        <w:br/>
      </w:r>
      <w:hyperlink r:id="rId3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реаниматологов», Российская общественная организация «Ассоциация акушерских анестезиологов и реаниматологов» «Анестезия и интенсивная терапия при массивной кровопотере в акушерстве», 2018 год. Анестезиологическое пособие при массивной кровопотере.</w:t>
      </w:r>
    </w:p>
    <w:p>
      <w:pPr>
        <w:pStyle w:val="Heading2"/>
      </w:pPr>
      <w:r>
        <w:t>13. Дополнительная информация</w:t>
      </w:r>
    </w:p>
    <w:p>
      <w:pPr>
        <w:spacing w:after="58"/>
      </w:pPr>
      <w:r>
        <w:rPr>
          <w:b w:val="0"/>
          <w:i w:val="0"/>
        </w:rPr>
        <w:t>Выполнено ЭГДС: Пищевод, кардия свободно проходимы. Кардия смыкается полностью. В дистальной трети пищевода определяются три больших варизно-расширенных вены (в положениях на 11, 1 и 4 часах) с признаками признаками малоинтенсивного продолжающегося кровотечения. Выполнено лигирование. В области дна желудка также отмечаются варикозно-расширенные вены без признаков кровотечения.</w:t>
      </w:r>
    </w:p>
    <w:p>
      <w:pPr>
        <w:spacing w:after="58"/>
      </w:pPr>
      <w:r>
        <w:rPr>
          <w:b w:val="0"/>
          <w:i w:val="0"/>
        </w:rPr>
        <w:t>Заключение: ВРВП, состояние после эндоскопического гемостаза. ВРВЖ.</w:t>
      </w:r>
    </w:p>
    <w:p>
      <w:pPr>
        <w:spacing w:after="58"/>
      </w:pPr>
      <w:r>
        <w:rPr>
          <w:b w:val="0"/>
          <w:i w:val="0"/>
        </w:rPr>
        <w:t>Пациент переведен в отделение интенсивной терапии.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Пациенту с кровотечением из варикозно-расширенных вен пищевода в условиях нестабильной гемодинамики с целью снижения портальной гипертензии могут быть назначены вазоактивные препараты:</w:t>
        <w:br/>
        <w:br/>
        <w:t>* Соматостатин (Сандостатин, Октреотид) 50-100 мкг в/в болюсно, затем 25-50 мкг/час в течение 5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нитроглицерин в/в с начальной дозы 10 - 15 мг/мин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карведилол per os 6.25 мг два раза в день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нитропруссид натрия (Нанипрус) в/в в дозе до 10 мкг/кг/мин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терлипрессин (Реместип) 1,0 мг (1000 мкг) с интервалом 4–6 ч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терлипрессин (Реместип) 1,0 мг (1000 мкг) с интервалом 4–6 ч</w:t>
      </w:r>
    </w:p>
    <w:p>
      <w:pPr>
        <w:ind w:left="504"/>
      </w:pPr>
      <w:r>
        <w:rPr>
          <w:b w:val="0"/>
          <w:i/>
        </w:rPr>
        <w:t>При подозрении на кровотечение из ВРВ должны быть назначены вазоактивные препараты как можно раньше, препаратом выбора является терлипрессин (уровень убедительности рекомендаций I, уровень достоверности доказательств – А) [68].</w:t>
        <w:br/>
        <w:br/>
        <w:t>Терлипрессин уменьшает артериальный приток в портальную систему, снижая портальное давление на 30-40%. По данным проведенных исследований, из всех вазоактивных препаратов, терлипрессин является препаратом выбора для лечения острого кровотечения, из ВРВ, его назначение приводит к снижению на 34 % риска смертельного исхода.</w:t>
        <w:br/>
        <w:br/>
      </w:r>
      <w:hyperlink r:id="rId31">
        <w:r>
          <w:rPr>
            <w:color w:val="0F766E"/>
            <w:u w:val="single"/>
          </w:rPr>
          <w:t>Периоперационное ведение пациентов с сопутствующими заболеваниями печени.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 России» «Периоперационное ведение пациентов с сопутствующими заболеваниями печени», 2018 год. 3. Лечение, рекомендация 21.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связи с тем что ЖКК является одним из триггеров развития печеночной энцефалопатии у пациента с циррозом печени и портальной гипертензией, пациенту следует назначить рифаксимин (Альфа-нормикс), L-орнитин-L-аспартат (Гепа-мерц) 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лактулозу (Порталак, Дюфалак)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фосфолипиды (эссенциале)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галоперидол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пирацетам (ноотропил, церебрил)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лактулозу (Порталак, Дюфалак)</w:t>
      </w:r>
    </w:p>
    <w:p>
      <w:pPr>
        <w:ind w:left="504"/>
      </w:pPr>
      <w:r>
        <w:rPr>
          <w:b w:val="0"/>
          <w:i/>
        </w:rPr>
        <w:t>Для лечения ПЭ рекомендуется использовать препараты, уменьшающие образование аммиака в кишечнике (лактулоза 30,0-120,0 г/сутки); антибиотики (рифаксимин 1200 мг/сутки или ципрофлоксицин 500 мг/сутки) в течение 5-7 дней, препараты, усиливающие обезвреживание аммиака в печени (L-орнитин-L-аспартат (Гепа-мерц) при отсутствии почечной дисфункции) (уровень убедительности рекомендаций I, уровень достоверности доказательств – В)</w:t>
        <w:br/>
        <w:br/>
      </w:r>
      <w:hyperlink r:id="rId31">
        <w:r>
          <w:rPr>
            <w:color w:val="0F766E"/>
            <w:u w:val="single"/>
          </w:rPr>
          <w:t>Периоперационное ведение пациентов с сопутствующими заболеваниями печени.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 России» «Периоперационное ведение пациентов с сопутствующими заболеваниями печени», 2018 год. 3. Лечение, рекомендация 9.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Пациентам с портальной гипертензией и асцитом с целью аналгезии не рекомендуется использовать +__________+ , в связи с увеличением риска развития почечной недостаточности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трамадол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тримеперидин, морфин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парацетамол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кеторолак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кеторолак</w:t>
      </w:r>
    </w:p>
    <w:p>
      <w:pPr>
        <w:ind w:left="504"/>
      </w:pPr>
      <w:r>
        <w:rPr>
          <w:b w:val="0"/>
          <w:i/>
        </w:rPr>
        <w:t>Нестероидные противовоспалительные препараты (НПВП) противопоказаны пациентам с асцитом из-за высокого риска развития дальнейшей задержки натрия, гипонатриемии и почечной недостаточности.</w:t>
        <w:br/>
        <w:br/>
      </w:r>
      <w:hyperlink r:id="rId31">
        <w:r>
          <w:rPr>
            <w:color w:val="0F766E"/>
            <w:u w:val="single"/>
          </w:rPr>
          <w:t>Периоперационное ведение пациентов с сопутствующими заболеваниями печени.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 России» «Периоперационное ведение пациентов с сопутствующими заболеваниями печени», 2018 год. 3. Лечение, рекомендация 16.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проведении анестезии пациентам с циррозом печени и печеночной недостаточности следует использовать миорелаксант с органно-независимыми путями элиминации (без участия почек и печени)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суксаметоний (сукцинилхолин, дитилин, листенон)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цисатракурий (нимбекс)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рокуроний (эсмерон, рокуроний каби)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пипекуроний (ардуан, аперомид)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цисатракурий (нимбекс)</w:t>
      </w:r>
    </w:p>
    <w:p>
      <w:pPr>
        <w:ind w:left="504"/>
      </w:pPr>
      <w:r>
        <w:rPr>
          <w:b w:val="0"/>
          <w:i/>
        </w:rPr>
        <w:t>Более безопасно могут применяться миорелаксанты с орган-независимымми путями элиминации – атракуриум (неспецифический гидролиз) и цисатракуриум (хофмановская элиминация). Период полувыведения и длительность действия данных препаратов не меняется при наличии патологии печени. Тем не менее, в процессе их метаболизма образуется побочный продукт – лауданозин, который элиминируется печенью. У больных с печеночной недостаточностью он может кумулировать, что несет в себе потенциальный нейротоксический эффект, который, однако, не был подтвержден клинически</w:t>
        <w:br/>
        <w:br/>
      </w:r>
      <w:hyperlink r:id="rId31">
        <w:r>
          <w:rPr>
            <w:color w:val="0F766E"/>
            <w:u w:val="single"/>
          </w:rPr>
          <w:t>Периоперационное ведение пациентов с сопутствующими заболеваниями печени. Клинические рекомендации Министерства здравоохранения Российской Федерации, 2018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Профессиональные ассоциации: Общероссийская общественная организация «Федерация анестезиологов и реаниматологов России» «Периоперационное ведение пациентов с сопутствующими заболеваниями печени», 2018 год. 3. Лечение, рекомендация 8, комментарии.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latoxic/" TargetMode="External"/><Relationship Id="rId10" Type="http://schemas.openxmlformats.org/officeDocument/2006/relationships/hyperlink" Target="https://library.mededtech.ru/rest/documents/latoxic/#paragraph_72vd7f" TargetMode="External"/><Relationship Id="rId11" Type="http://schemas.openxmlformats.org/officeDocument/2006/relationships/hyperlink" Target="https://library.mededtech.ru/rest/documents/latoxic/#tab2" TargetMode="External"/><Relationship Id="rId12" Type="http://schemas.openxmlformats.org/officeDocument/2006/relationships/hyperlink" Target="https://library.mededtech.ru/rest/documents/latoxic/#paragraph_l1b9gt" TargetMode="External"/><Relationship Id="rId13" Type="http://schemas.openxmlformats.org/officeDocument/2006/relationships/hyperlink" Target="https://library.mededtech.ru/rest/documents/latoxic/#tab4" TargetMode="External"/><Relationship Id="rId14" Type="http://schemas.openxmlformats.org/officeDocument/2006/relationships/hyperlink" Target="https://library.mededtech.ru/rest/documents/latoxic/#paragraph_sigpkb" TargetMode="External"/><Relationship Id="rId15" Type="http://schemas.openxmlformats.org/officeDocument/2006/relationships/hyperlink" Target="https://library.mededtech.ru/rest/documents/latoxic/#tab5" TargetMode="External"/><Relationship Id="rId16" Type="http://schemas.openxmlformats.org/officeDocument/2006/relationships/hyperlink" Target="https://library.mededtech.ru/rest/documents/latoxic/#tab6" TargetMode="External"/><Relationship Id="rId17" Type="http://schemas.openxmlformats.org/officeDocument/2006/relationships/hyperlink" Target="https://library.mededtech.ru/rest/documents/latoxic/#paragraph_hoa5td" TargetMode="External"/><Relationship Id="rId18" Type="http://schemas.openxmlformats.org/officeDocument/2006/relationships/hyperlink" Target="https://library.mededtech.ru/rest/documents/latoxic/#tab9" TargetMode="External"/><Relationship Id="rId19" Type="http://schemas.openxmlformats.org/officeDocument/2006/relationships/image" Target="media/image1.jpg"/><Relationship Id="rId20" Type="http://schemas.openxmlformats.org/officeDocument/2006/relationships/hyperlink" Target="https://library.mededtech.ru/rest/documents/massivebleeding/" TargetMode="External"/><Relationship Id="rId21" Type="http://schemas.openxmlformats.org/officeDocument/2006/relationships/hyperlink" Target="https://library.mededtech.ru/rest/documents/massivebleeding/index.html#paragraph_jct61i" TargetMode="External"/><Relationship Id="rId22" Type="http://schemas.openxmlformats.org/officeDocument/2006/relationships/image" Target="media/image2.png"/><Relationship Id="rId23" Type="http://schemas.openxmlformats.org/officeDocument/2006/relationships/hyperlink" Target="https://library.mededtech.ru/rest/documents/massivebleeding/index.html#paragraph_d6kdrs" TargetMode="External"/><Relationship Id="rId24" Type="http://schemas.openxmlformats.org/officeDocument/2006/relationships/hyperlink" Target="https://library.mededtech.ru/rest/documents/massivebleeding/index.html#paragraph_91rmp8" TargetMode="External"/><Relationship Id="rId25" Type="http://schemas.openxmlformats.org/officeDocument/2006/relationships/hyperlink" Target="https://library.mededtech.ru/rest/documents/massivebleeding/index.html#paragraph_2ljva1" TargetMode="External"/><Relationship Id="rId26" Type="http://schemas.openxmlformats.org/officeDocument/2006/relationships/hyperlink" Target="https://library.mededtech.ru/rest/documents/massivebleeding/index.html#paragraph_66s1r4" TargetMode="External"/><Relationship Id="rId27" Type="http://schemas.openxmlformats.org/officeDocument/2006/relationships/hyperlink" Target="https://library.mededtech.ru/rest/documents/massivebleeding/index.html#paragraph_tjq6lv" TargetMode="External"/><Relationship Id="rId28" Type="http://schemas.openxmlformats.org/officeDocument/2006/relationships/hyperlink" Target="https://library.mededtech.ru/rest/documents/massivebleeding/index.html#paragraph_d78fup" TargetMode="External"/><Relationship Id="rId29" Type="http://schemas.openxmlformats.org/officeDocument/2006/relationships/hyperlink" Target="https://library.mededtech.ru/rest/documents/obstetrics_bleeding/index.html" TargetMode="External"/><Relationship Id="rId30" Type="http://schemas.openxmlformats.org/officeDocument/2006/relationships/hyperlink" Target="https://library.mededtech.ru/rest/documents/obstetrics_bleeding/index.html#paragraph_il7h99" TargetMode="External"/><Relationship Id="rId31" Type="http://schemas.openxmlformats.org/officeDocument/2006/relationships/hyperlink" Target="https://library.mededtech.ru/rest/documents/periophepat/index.html" TargetMode="External"/><Relationship Id="rId32" Type="http://schemas.openxmlformats.org/officeDocument/2006/relationships/hyperlink" Target="https://library.mededtech.ru/rest/documents/periophepat/index.html#paragraph_e3gl11" TargetMode="External"/><Relationship Id="rId33" Type="http://schemas.openxmlformats.org/officeDocument/2006/relationships/hyperlink" Target="https://library.mededtech.ru/rest/documents/periophepat/index.html#paragraph_mde6eq" TargetMode="External"/><Relationship Id="rId34" Type="http://schemas.openxmlformats.org/officeDocument/2006/relationships/hyperlink" Target="https://library.mededtech.ru/rest/documents/periophepat/index.html#paragraph_iac57d" TargetMode="External"/><Relationship Id="rId35" Type="http://schemas.openxmlformats.org/officeDocument/2006/relationships/hyperlink" Target="https://library.mededtech.ru/rest/documents/periophepat/index.html#paragraph_901nj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